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25398CF" w14:textId="3AF17750" w:rsidR="005D1A99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Белстата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4DE74B49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iCs/>
          <w:color w:val="000000" w:themeColor="text1"/>
          <w:szCs w:val="28"/>
        </w:rPr>
      </w:pPr>
      <w:r w:rsidRPr="00BE621D">
        <w:rPr>
          <w:rFonts w:cs="Times New Roman"/>
          <w:b/>
          <w:bCs/>
          <w:i/>
          <w:iCs/>
          <w:color w:val="000000" w:themeColor="text1"/>
          <w:szCs w:val="28"/>
        </w:rPr>
        <w:t>Справочно по Могилевской области:</w:t>
      </w:r>
    </w:p>
    <w:p w14:paraId="5C7B00AB" w14:textId="4C8FBA30" w:rsidR="00BE621D" w:rsidRPr="009D6647" w:rsidRDefault="00BE621D" w:rsidP="00BE621D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 w:rsidRPr="00BE621D">
        <w:rPr>
          <w:rFonts w:cs="Times New Roman"/>
          <w:i/>
          <w:iCs/>
          <w:color w:val="000000" w:themeColor="text1"/>
          <w:szCs w:val="28"/>
        </w:rPr>
        <w:t xml:space="preserve">По состоянию на 01.01.2026 года в Могилевской области туристическую деятельность осуществляли 95 организаций, услугами которых воспользовались 147,8 тыс. организованных туристов </w:t>
      </w:r>
      <w:r>
        <w:rPr>
          <w:rFonts w:cs="Times New Roman"/>
          <w:i/>
          <w:iCs/>
          <w:color w:val="000000" w:themeColor="text1"/>
          <w:szCs w:val="28"/>
        </w:rPr>
        <w:br/>
      </w:r>
      <w:r w:rsidRPr="00BE621D">
        <w:rPr>
          <w:rFonts w:cs="Times New Roman"/>
          <w:i/>
          <w:iCs/>
          <w:color w:val="000000" w:themeColor="text1"/>
          <w:szCs w:val="28"/>
        </w:rPr>
        <w:t>и экскурсантов. По сравнению с 2024 годом количество таких организаций увеличилось на 14,5 процента. Средняя продолжительность пребывания в области одного иностранного туриста составила 5 дней (в 2024 году – 4 дня). Основным государственным туроператором в Могилевской области выступает ГКУП «Могилевоблутрист».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древние лесные массивы </w:t>
      </w:r>
      <w:r>
        <w:rPr>
          <w:rFonts w:cs="Times New Roman"/>
          <w:i/>
          <w:szCs w:val="28"/>
        </w:rPr>
        <w:t>(Налибокская,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>(Ельня, Ольманские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(«Нарочанский», «Припятский»,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>крупнейшее – о.Нарочь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3FD3CD51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г.Минске.</w:t>
      </w:r>
    </w:p>
    <w:p w14:paraId="0BF35795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0" w:name="_Hlk229645347"/>
      <w:r w:rsidRPr="00BE621D">
        <w:rPr>
          <w:rFonts w:eastAsia="Calibri" w:cs="Times New Roman"/>
          <w:b/>
          <w:bCs/>
          <w:i/>
          <w:color w:val="000000"/>
          <w:szCs w:val="28"/>
        </w:rPr>
        <w:t>Справочно по Могилевской области:</w:t>
      </w:r>
    </w:p>
    <w:p w14:paraId="3B7885B3" w14:textId="4133787B" w:rsidR="00BE621D" w:rsidRPr="00BE621D" w:rsidRDefault="00BE621D" w:rsidP="00BE621D">
      <w:pPr>
        <w:spacing w:line="280" w:lineRule="exact"/>
        <w:ind w:left="709" w:firstLine="992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В Могилевской области функционирует 39 гостиниц, </w:t>
      </w:r>
      <w:r w:rsidRPr="00BE621D">
        <w:rPr>
          <w:rFonts w:eastAsia="Calibri" w:cs="Times New Roman"/>
          <w:i/>
          <w:color w:val="000000"/>
          <w:szCs w:val="28"/>
        </w:rPr>
        <w:br/>
        <w:t xml:space="preserve">4 гостиничных комплекса, 2 туристско-гостиничных комплекса </w:t>
      </w:r>
      <w:r w:rsidRPr="00BE621D">
        <w:rPr>
          <w:rFonts w:eastAsia="Calibri" w:cs="Times New Roman"/>
          <w:i/>
          <w:color w:val="000000"/>
          <w:szCs w:val="28"/>
        </w:rPr>
        <w:br/>
        <w:t>и 23 иных средства размещения, общий номерной фонд которых составляет 2,2 тыс. номеров. Санаторно-курортные услуги предлагают 50 организаций, из них 9 санаториев, 15 домов отдыха и баз отдыха, 15 домов охотника и рыбака и 11 других специализированных средств размещения, их услугами воспользовались 53,2 тыс. человек. Всего в 2025 году коллективными средствами размещения области было принято 252,3 тыс. человек, из которых 65,9 тыс. человек – иностранные граждане.</w:t>
      </w:r>
      <w:bookmarkEnd w:id="0"/>
    </w:p>
    <w:p w14:paraId="4958DDD4" w14:textId="6539B820" w:rsidR="005D1A99" w:rsidRDefault="009A7D02" w:rsidP="00BE621D">
      <w:pPr>
        <w:tabs>
          <w:tab w:val="left" w:pos="9498"/>
        </w:tabs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6AE19651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1" w:name="_Hlk229645485"/>
    </w:p>
    <w:p w14:paraId="0ADA82C4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</w:p>
    <w:p w14:paraId="2668CC78" w14:textId="6B5083BB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r w:rsidRPr="00BE621D">
        <w:rPr>
          <w:rFonts w:eastAsia="Calibri" w:cs="Times New Roman"/>
          <w:b/>
          <w:bCs/>
          <w:i/>
          <w:color w:val="000000"/>
          <w:szCs w:val="28"/>
        </w:rPr>
        <w:lastRenderedPageBreak/>
        <w:t>Справочно по Могилевской области:</w:t>
      </w:r>
    </w:p>
    <w:p w14:paraId="1D78E4D9" w14:textId="77777777" w:rsidR="00BE621D" w:rsidRPr="00BE621D" w:rsidRDefault="00BE621D" w:rsidP="00BE621D">
      <w:pPr>
        <w:spacing w:after="0" w:line="235" w:lineRule="auto"/>
        <w:ind w:left="709"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В 2025 году экспорт туристических услуг области составил </w:t>
      </w:r>
      <w:r w:rsidRPr="00BE621D">
        <w:rPr>
          <w:rFonts w:eastAsia="Calibri" w:cs="Times New Roman"/>
          <w:i/>
          <w:color w:val="000000"/>
          <w:szCs w:val="28"/>
        </w:rPr>
        <w:br/>
        <w:t>7,7 млн. долларов США, что на 41,3 процента больше, чем в 2024 году.</w:t>
      </w:r>
    </w:p>
    <w:p w14:paraId="41F016B9" w14:textId="77777777" w:rsidR="00BE621D" w:rsidRPr="00BE621D" w:rsidRDefault="00BE621D" w:rsidP="00BE621D">
      <w:pPr>
        <w:spacing w:after="0" w:line="235" w:lineRule="auto"/>
        <w:ind w:left="709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BE621D">
        <w:rPr>
          <w:rFonts w:eastAsia="Calibri" w:cs="Times New Roman"/>
          <w:i/>
          <w:color w:val="000000"/>
          <w:szCs w:val="28"/>
        </w:rPr>
        <w:t>Возросший туристический интерес к нашей области позволил организовать в 2025 году регулярное авиасообщение между Могилевом и Москвой (Российская Федерация), Анталией (Турция) и Шарм-эль-Шейхом (Египет).</w:t>
      </w:r>
    </w:p>
    <w:bookmarkEnd w:id="1"/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рост агроэкотуризма;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 w:rsidP="00BE621D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011075F8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2" w:name="_Hlk229645828"/>
    </w:p>
    <w:p w14:paraId="3511BCFC" w14:textId="7A85FB8E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r w:rsidRPr="00BE621D">
        <w:rPr>
          <w:rFonts w:eastAsia="Calibri" w:cs="Times New Roman"/>
          <w:b/>
          <w:bCs/>
          <w:i/>
          <w:color w:val="000000"/>
          <w:szCs w:val="28"/>
        </w:rPr>
        <w:lastRenderedPageBreak/>
        <w:t>Справочно по Могилевской области:</w:t>
      </w:r>
    </w:p>
    <w:p w14:paraId="048BDCBA" w14:textId="77777777" w:rsidR="00BE621D" w:rsidRPr="00BE621D" w:rsidRDefault="00BE621D" w:rsidP="00BE621D">
      <w:pPr>
        <w:spacing w:after="0" w:line="240" w:lineRule="auto"/>
        <w:ind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Так, Госпрограммой «Туризм» на 2026-2030 годы предусмотрено возведение санаториев в Кричевском, Осиповичском и Белыничском районах, реконструкция санаториев УП «Санаторий им.В.И.Ленина», «Санаторий «Чайка» ОАО «Строительный трест № 17 Ордена Трудового Красного Знамени», санатория им. К.П.Орловского ОАО «Рассвет им.К.П.Орловского», а также возведение объектов туристической инфраструктуры </w:t>
      </w:r>
      <w:r w:rsidRPr="00BE621D">
        <w:rPr>
          <w:rFonts w:eastAsia="Calibri" w:cs="Times New Roman"/>
          <w:i/>
          <w:color w:val="000000"/>
          <w:szCs w:val="28"/>
        </w:rPr>
        <w:br/>
        <w:t xml:space="preserve">в Осиповичском, Быховском, Кличевском районах и г. Могилеве. </w:t>
      </w:r>
    </w:p>
    <w:bookmarkEnd w:id="2"/>
    <w:p w14:paraId="049F827F" w14:textId="77777777" w:rsidR="00BE621D" w:rsidRPr="00BE621D" w:rsidRDefault="00BE621D" w:rsidP="00BE621D">
      <w:pPr>
        <w:spacing w:after="0" w:line="240" w:lineRule="auto"/>
        <w:ind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С целью активизации частной инициативы по развитию туристической инфраструктуры ОАО «Банк Развития Республики Беларусь» и его партнерами предлагается льготный кредитный продукт «Туристический потенциал». По состоянию на 01.05.2026 в перечень инвестиционных проектов «Туристический потенциал» включено </w:t>
      </w:r>
      <w:r w:rsidRPr="00BE621D">
        <w:rPr>
          <w:rFonts w:eastAsia="Calibri" w:cs="Times New Roman"/>
          <w:i/>
          <w:color w:val="000000"/>
          <w:szCs w:val="28"/>
        </w:rPr>
        <w:br/>
        <w:t>15 организаций из различных регионов области.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</w:t>
      </w:r>
      <w:r>
        <w:rPr>
          <w:rFonts w:cs="Times New Roman"/>
          <w:i/>
          <w:color w:val="000000" w:themeColor="text1"/>
          <w:szCs w:val="28"/>
        </w:rPr>
        <w:lastRenderedPageBreak/>
        <w:t xml:space="preserve">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 более востребованным становится агроэкотуризм. Живописные пейзажи, благоприятная экология и неповторимый деревенский колорит привлекают гостей в агроусадьбы.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05A1FAA4" w14:textId="51CEF12A" w:rsidR="00BE621D" w:rsidRDefault="009A7D02" w:rsidP="00BE621D">
      <w:pPr>
        <w:spacing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агроэкотуризма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3FAD75FF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r w:rsidRPr="00BE621D">
        <w:rPr>
          <w:rFonts w:eastAsia="Calibri" w:cs="Times New Roman"/>
          <w:b/>
          <w:bCs/>
          <w:i/>
          <w:color w:val="000000"/>
          <w:szCs w:val="28"/>
        </w:rPr>
        <w:t>Справочно по Могилевской области:</w:t>
      </w:r>
    </w:p>
    <w:p w14:paraId="7C94937F" w14:textId="77777777" w:rsidR="00BE621D" w:rsidRPr="00BE621D" w:rsidRDefault="00BE621D" w:rsidP="00BE621D">
      <w:pPr>
        <w:spacing w:line="240" w:lineRule="auto"/>
        <w:ind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BE621D">
        <w:rPr>
          <w:rFonts w:eastAsia="Calibri" w:cs="Times New Roman"/>
          <w:i/>
          <w:color w:val="000000"/>
          <w:szCs w:val="28"/>
        </w:rPr>
        <w:t>В Могилевской области действует 141 субъект агроэкотуризма, численность обслуженных туристов составила 45,3 тыс. человек.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bookmarkStart w:id="3" w:name="_GoBack"/>
      <w:bookmarkEnd w:id="3"/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«Купалье»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представляющих интерес для туристов, можно отметить обряды, традиционные блюда, народные ремесла: белорусское соломоплетение, белорусское искусство вытинанки,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84DC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Многие из культовых сооружений – абсолютно уникальны. 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аг.Будслав).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г.Бобруйске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г.Ивье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г.Новогрудок, г.Лида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Гродненщина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33586" w14:textId="77777777" w:rsidR="00B250E9" w:rsidRDefault="00B250E9">
      <w:pPr>
        <w:spacing w:line="240" w:lineRule="auto"/>
      </w:pPr>
      <w:r>
        <w:separator/>
      </w:r>
    </w:p>
  </w:endnote>
  <w:endnote w:type="continuationSeparator" w:id="0">
    <w:p w14:paraId="072DD204" w14:textId="77777777" w:rsidR="00B250E9" w:rsidRDefault="00B25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ACB29" w14:textId="77777777" w:rsidR="00B250E9" w:rsidRDefault="00B250E9">
      <w:pPr>
        <w:spacing w:after="0"/>
      </w:pPr>
      <w:r>
        <w:separator/>
      </w:r>
    </w:p>
  </w:footnote>
  <w:footnote w:type="continuationSeparator" w:id="0">
    <w:p w14:paraId="09134DD4" w14:textId="77777777" w:rsidR="00B250E9" w:rsidRDefault="00B250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30D81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250E9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E621D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Дерешева Юлия Ивановна</cp:lastModifiedBy>
  <cp:revision>20</cp:revision>
  <cp:lastPrinted>2026-05-13T08:14:00Z</cp:lastPrinted>
  <dcterms:created xsi:type="dcterms:W3CDTF">2026-04-22T05:00:00Z</dcterms:created>
  <dcterms:modified xsi:type="dcterms:W3CDTF">2026-05-14T07:38:00Z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